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Királykúti társalgó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5f6368"/>
          <w:highlight w:val="white"/>
          <w:rtl w:val="0"/>
        </w:rPr>
        <w:t xml:space="preserve">Királykút Emlékház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 8000 Székesfehérvár, Mikszáth Kálmán utca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2025. április 24. 18:00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13131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highlight w:val="white"/>
          <w:rtl w:val="0"/>
        </w:rPr>
        <w:t xml:space="preserve">Teljes árú jegy: 1100 Ft, diák- és nyugdíjas jegy: 900 Ft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 éves korig a belépés ingyenes.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2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kedvezmények igénybevételéhez nyugdíjas-, illetve diákigazolvány felmutatása szükséges.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Jegyvásárlásra mind az online felületen, mind pedig jegyértékesítő helyszínen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jegyvásárlás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amennyiben rendelkezésre állnak még szabad jegyek az előadás napján – az előadás helyszínén, a rendezvény kezdetét megelőző 1 órában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6368"/>
          <w:sz w:val="22"/>
          <w:szCs w:val="22"/>
          <w:highlight w:val="white"/>
          <w:u w:val="none"/>
          <w:vertAlign w:val="baseline"/>
          <w:rtl w:val="0"/>
        </w:rPr>
        <w:t xml:space="preserve">Királykút Emlékház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2"/>
          <w:szCs w:val="22"/>
          <w:highlight w:val="white"/>
          <w:u w:val="none"/>
          <w:vertAlign w:val="baseline"/>
          <w:rtl w:val="0"/>
        </w:rPr>
        <w:t xml:space="preserve"> 8000 Székesfehérvár, Mikszáth Kálmán utca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Fizetési mód: készpénz vagy bankkártya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jegyvásárlás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online vásárlás menete: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3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 menete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C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Milla-Mudri Anna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70/443 7068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mudri.anna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02.18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 w:val="1"/>
    <w:rsid w:val="00D242D3"/>
    <w:rPr>
      <w:i w:val="1"/>
      <w:iCs w:val="1"/>
    </w:rPr>
  </w:style>
  <w:style w:type="paragraph" w:styleId="Listaszerbekezds">
    <w:name w:val="List Paragraph"/>
    <w:basedOn w:val="Norml"/>
    <w:uiPriority w:val="34"/>
    <w:qFormat w:val="1"/>
    <w:rsid w:val="00D242D3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AF79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8xIfsT4fpoEoKIZyBu8ATzlDg==">CgMxLjAyCGguZ2pkZ3hzOAByITFQYmJGUVZuMEppMm5NZlVHQ3JUbGM2SHdTb2cwTHA2bw==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2024-05-09T15:30:00Z</dcterms:created>
  <dc:creator>Kopcsai Margit</dc:creator>
</cp:coreProperties>
</file>